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C4D79" w14:textId="626DCC88" w:rsidR="00D7425B" w:rsidRDefault="001B0354" w:rsidP="00D7425B">
      <w:pPr>
        <w:spacing w:after="120"/>
        <w:contextualSpacing/>
        <w:rPr>
          <w:rFonts w:ascii="Georgia" w:hAnsi="Georgia"/>
          <w:color w:val="1F3864" w:themeColor="accent1" w:themeShade="80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45720" distB="45720" distL="182880" distR="182880" simplePos="0" relativeHeight="251656192" behindDoc="0" locked="0" layoutInCell="1" allowOverlap="1" wp14:anchorId="7352047F" wp14:editId="000FEFAE">
                <wp:simplePos x="0" y="0"/>
                <wp:positionH relativeFrom="margin">
                  <wp:posOffset>-215900</wp:posOffset>
                </wp:positionH>
                <wp:positionV relativeFrom="paragraph">
                  <wp:posOffset>71755</wp:posOffset>
                </wp:positionV>
                <wp:extent cx="5948680" cy="2753360"/>
                <wp:effectExtent l="0" t="0" r="0" b="8890"/>
                <wp:wrapSquare wrapText="bothSides"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8680" cy="2753360"/>
                          <a:chOff x="-402694" y="208248"/>
                          <a:chExt cx="3567448" cy="1279176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-402694" y="1415080"/>
                            <a:ext cx="3567448" cy="4541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AC5D552" w14:textId="77777777" w:rsidR="00D7425B" w:rsidRDefault="00D7425B" w:rsidP="00D7425B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 Box 200"/>
                        <wps:cNvSpPr txBox="1"/>
                        <wps:spPr>
                          <a:xfrm>
                            <a:off x="-402694" y="208248"/>
                            <a:ext cx="1327709" cy="127917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7904567" w14:textId="7192B3ED" w:rsidR="00D7425B" w:rsidRDefault="007A52E8" w:rsidP="00D7425B">
                              <w:pPr>
                                <w:pBdr>
                                  <w:bottom w:val="single" w:sz="4" w:space="1" w:color="auto"/>
                                </w:pBdr>
                                <w:spacing w:after="120" w:line="240" w:lineRule="auto"/>
                                <w:rPr>
                                  <w:rFonts w:eastAsiaTheme="majorEastAsia" w:cstheme="minorHAnsi"/>
                                  <w:b/>
                                  <w:bCs/>
                                  <w:noProof/>
                                  <w:color w:val="4472C4" w:themeColor="accent1"/>
                                  <w:sz w:val="40"/>
                                  <w:szCs w:val="40"/>
                                </w:rPr>
                              </w:pPr>
                              <w:r w:rsidRPr="007A52E8">
                                <w:t xml:space="preserve"> </w:t>
                              </w:r>
                              <w:r w:rsidR="00F469E3" w:rsidRPr="00F469E3">
                                <w:rPr>
                                  <w:noProof/>
                                </w:rPr>
                                <w:drawing>
                                  <wp:inline distT="0" distB="0" distL="0" distR="0" wp14:anchorId="7F8D892F" wp14:editId="5DD54FFC">
                                    <wp:extent cx="1669189" cy="1327918"/>
                                    <wp:effectExtent l="0" t="0" r="7620" b="5715"/>
                                    <wp:docPr id="1340342317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340342317" name=""/>
                                            <pic:cNvPicPr/>
                                          </pic:nvPicPr>
                                          <pic:blipFill>
                                            <a:blip r:embed="rId10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675637" cy="133304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F469E3" w:rsidRPr="00F469E3">
                                <w:t xml:space="preserve"> </w:t>
                              </w:r>
                              <w:r w:rsidR="00B22622" w:rsidRPr="00B22622">
                                <w:t xml:space="preserve"> </w:t>
                              </w:r>
                              <w:r w:rsidR="00D973D9" w:rsidRPr="00D973D9">
                                <w:t xml:space="preserve"> </w:t>
                              </w:r>
                              <w:r w:rsidR="00AB5667" w:rsidRPr="00AB5667">
                                <w:t xml:space="preserve"> </w:t>
                              </w:r>
                            </w:p>
                            <w:p w14:paraId="14C347C1" w14:textId="3E62FBF4" w:rsidR="00D7425B" w:rsidRPr="00F469E3" w:rsidRDefault="00F469E3" w:rsidP="00D7425B">
                              <w:pPr>
                                <w:pBdr>
                                  <w:bottom w:val="single" w:sz="4" w:space="1" w:color="auto"/>
                                </w:pBdr>
                                <w:spacing w:after="120" w:line="240" w:lineRule="auto"/>
                                <w:rPr>
                                  <w:rFonts w:eastAsiaTheme="majorEastAsia" w:cstheme="minorHAnsi"/>
                                  <w:b/>
                                  <w:bCs/>
                                  <w:color w:val="4472C4" w:themeColor="accen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Theme="majorEastAsia" w:cstheme="minorHAnsi"/>
                                  <w:b/>
                                  <w:bCs/>
                                  <w:color w:val="4472C4" w:themeColor="accent1"/>
                                  <w:sz w:val="32"/>
                                  <w:szCs w:val="32"/>
                                </w:rPr>
                                <w:t xml:space="preserve">T. </w:t>
                              </w:r>
                              <w:r w:rsidR="00B22622" w:rsidRPr="00B22622">
                                <w:rPr>
                                  <w:rFonts w:eastAsiaTheme="majorEastAsia" w:cstheme="minorHAnsi"/>
                                  <w:b/>
                                  <w:bCs/>
                                  <w:color w:val="4472C4" w:themeColor="accent1"/>
                                  <w:sz w:val="32"/>
                                  <w:szCs w:val="32"/>
                                </w:rPr>
                                <w:t>C</w:t>
                              </w:r>
                              <w:r>
                                <w:rPr>
                                  <w:rFonts w:eastAsiaTheme="majorEastAsia" w:cstheme="minorHAnsi"/>
                                  <w:b/>
                                  <w:bCs/>
                                  <w:color w:val="4472C4" w:themeColor="accent1"/>
                                  <w:sz w:val="32"/>
                                  <w:szCs w:val="32"/>
                                </w:rPr>
                                <w:t xml:space="preserve">lark Simmons </w:t>
                              </w:r>
                              <w:r w:rsidR="00D7425B">
                                <w:rPr>
                                  <w:rFonts w:eastAsiaTheme="majorEastAsia" w:cstheme="minorHAnsi"/>
                                  <w:b/>
                                  <w:bCs/>
                                  <w:color w:val="4472C4" w:themeColor="accent1"/>
                                  <w:sz w:val="36"/>
                                  <w:szCs w:val="36"/>
                                </w:rPr>
                                <w:br/>
                              </w:r>
                              <w:r w:rsidRPr="00F469E3">
                                <w:rPr>
                                  <w:rFonts w:eastAsiaTheme="majorEastAsia" w:cstheme="minorHAnsi"/>
                                  <w:b/>
                                  <w:bCs/>
                                  <w:color w:val="4472C4" w:themeColor="accent1"/>
                                  <w:sz w:val="24"/>
                                  <w:szCs w:val="24"/>
                                </w:rPr>
                                <w:t xml:space="preserve">Senior </w:t>
                              </w:r>
                              <w:r w:rsidR="00D7425B" w:rsidRPr="00F469E3">
                                <w:rPr>
                                  <w:rFonts w:eastAsiaTheme="majorEastAsia" w:cstheme="minorHAnsi"/>
                                  <w:b/>
                                  <w:bCs/>
                                  <w:color w:val="4472C4" w:themeColor="accent1"/>
                                  <w:sz w:val="24"/>
                                  <w:szCs w:val="24"/>
                                </w:rPr>
                                <w:t>Church Consultant</w:t>
                              </w:r>
                            </w:p>
                            <w:p w14:paraId="22A46798" w14:textId="5BCAC81C" w:rsidR="00D7425B" w:rsidRDefault="00D7425B" w:rsidP="00D7425B">
                              <w:pPr>
                                <w:pBdr>
                                  <w:bottom w:val="single" w:sz="4" w:space="1" w:color="auto"/>
                                </w:pBdr>
                                <w:rPr>
                                  <w:rStyle w:val="Hyperlink"/>
                                </w:rPr>
                              </w:pPr>
                              <w:r w:rsidRPr="003E201E">
                                <w:t>m:</w:t>
                              </w:r>
                              <w:r w:rsidR="004538DA" w:rsidRPr="004538DA">
                                <w:t xml:space="preserve"> </w:t>
                              </w:r>
                              <w:r w:rsidR="00F469E3" w:rsidRPr="00F469E3">
                                <w:t>215-275-3079</w:t>
                              </w:r>
                              <w:r w:rsidRPr="007A52E8">
                                <w:rPr>
                                  <w:highlight w:val="yellow"/>
                                </w:rPr>
                                <w:br/>
                              </w:r>
                              <w:r w:rsidR="00B22622" w:rsidRPr="00B22622">
                                <w:t>clong@pensions.org</w:t>
                              </w:r>
                            </w:p>
                            <w:p w14:paraId="1826F9B4" w14:textId="77777777" w:rsidR="00D7425B" w:rsidRDefault="00D7425B" w:rsidP="00D7425B">
                              <w:pPr>
                                <w:pBdr>
                                  <w:bottom w:val="single" w:sz="4" w:space="1" w:color="auto"/>
                                </w:pBdr>
                                <w:rPr>
                                  <w:rStyle w:val="Hyperlink"/>
                                </w:rPr>
                              </w:pPr>
                            </w:p>
                            <w:p w14:paraId="2A462CCF" w14:textId="77777777" w:rsidR="00D7425B" w:rsidRDefault="00D7425B" w:rsidP="00D7425B">
                              <w:pPr>
                                <w:pBdr>
                                  <w:bottom w:val="single" w:sz="4" w:space="1" w:color="auto"/>
                                </w:pBdr>
                                <w:rPr>
                                  <w:rStyle w:val="Hyperlink"/>
                                </w:rPr>
                              </w:pPr>
                            </w:p>
                            <w:p w14:paraId="6131C070" w14:textId="77777777" w:rsidR="00D7425B" w:rsidRDefault="00D7425B" w:rsidP="00D7425B">
                              <w:pPr>
                                <w:pBdr>
                                  <w:bottom w:val="single" w:sz="4" w:space="1" w:color="auto"/>
                                </w:pBdr>
                                <w:rPr>
                                  <w:rStyle w:val="Hyperlink"/>
                                </w:rPr>
                              </w:pPr>
                            </w:p>
                            <w:p w14:paraId="4CB06E37" w14:textId="77777777" w:rsidR="00D7425B" w:rsidRDefault="00D7425B" w:rsidP="00D7425B">
                              <w:pPr>
                                <w:pBdr>
                                  <w:bottom w:val="single" w:sz="4" w:space="1" w:color="auto"/>
                                </w:pBdr>
                                <w:rPr>
                                  <w:rStyle w:val="Hyperlink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52047F" id="Group 198" o:spid="_x0000_s1026" style="position:absolute;margin-left:-17pt;margin-top:5.65pt;width:468.4pt;height:216.8pt;z-index:251656192;mso-wrap-distance-left:14.4pt;mso-wrap-distance-top:3.6pt;mso-wrap-distance-right:14.4pt;mso-wrap-distance-bottom:3.6pt;mso-position-horizontal-relative:margin;mso-width-relative:margin;mso-height-relative:margin" coordorigin="-4026,2082" coordsize="35674,12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">
                <v:rect id="Rectangle 199" o:spid="_x0000_s1027" style="position:absolute;left:-4026;top:14150;width:35673;height: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" fillcolor="#4472c4 [3204]" stroked="f" strokeweight="1pt">
                  <v:textbox>
                    <w:txbxContent>
                      <w:p w14:paraId="0AC5D552" w14:textId="77777777" w:rsidR="00D7425B" w:rsidRDefault="00D7425B" w:rsidP="00D7425B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0" o:spid="_x0000_s1028" type="#_x0000_t202" style="position:absolute;left:-4026;top:2082;width:13276;height:12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" filled="f" stroked="f" strokeweight=".5pt">
                  <v:textbox inset=",7.2pt,,0">
                    <w:txbxContent>
                      <w:p w14:paraId="17904567" w14:textId="7192B3ED" w:rsidR="00D7425B" w:rsidRDefault="007A52E8" w:rsidP="00D7425B">
                        <w:pPr>
                          <w:pBdr>
                            <w:bottom w:val="single" w:sz="4" w:space="1" w:color="auto"/>
                          </w:pBdr>
                          <w:spacing w:after="120" w:line="240" w:lineRule="auto"/>
                          <w:rPr>
                            <w:rFonts w:eastAsiaTheme="majorEastAsia" w:cstheme="minorHAnsi"/>
                            <w:b/>
                            <w:bCs/>
                            <w:noProof/>
                            <w:color w:val="4472C4" w:themeColor="accent1"/>
                            <w:sz w:val="40"/>
                            <w:szCs w:val="40"/>
                          </w:rPr>
                        </w:pPr>
                        <w:r w:rsidRPr="007A52E8">
                          <w:t xml:space="preserve"> </w:t>
                        </w:r>
                        <w:r w:rsidR="00F469E3" w:rsidRPr="00F469E3">
                          <w:drawing>
                            <wp:inline distT="0" distB="0" distL="0" distR="0" wp14:anchorId="7F8D892F" wp14:editId="5DD54FFC">
                              <wp:extent cx="1669189" cy="1327918"/>
                              <wp:effectExtent l="0" t="0" r="7620" b="5715"/>
                              <wp:docPr id="1340342317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340342317" name=""/>
                                      <pic:cNvPicPr/>
                                    </pic:nvPicPr>
                                    <pic:blipFill>
                                      <a:blip r:embed="rId1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675637" cy="133304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F469E3" w:rsidRPr="00F469E3">
                          <w:t xml:space="preserve"> </w:t>
                        </w:r>
                        <w:r w:rsidR="00B22622" w:rsidRPr="00B22622">
                          <w:t xml:space="preserve"> </w:t>
                        </w:r>
                        <w:r w:rsidR="00D973D9" w:rsidRPr="00D973D9">
                          <w:t xml:space="preserve"> </w:t>
                        </w:r>
                        <w:r w:rsidR="00AB5667" w:rsidRPr="00AB5667">
                          <w:t xml:space="preserve"> </w:t>
                        </w:r>
                      </w:p>
                      <w:p w14:paraId="14C347C1" w14:textId="3E62FBF4" w:rsidR="00D7425B" w:rsidRPr="00F469E3" w:rsidRDefault="00F469E3" w:rsidP="00D7425B">
                        <w:pPr>
                          <w:pBdr>
                            <w:bottom w:val="single" w:sz="4" w:space="1" w:color="auto"/>
                          </w:pBdr>
                          <w:spacing w:after="120" w:line="240" w:lineRule="auto"/>
                          <w:rPr>
                            <w:rFonts w:eastAsiaTheme="majorEastAsia" w:cstheme="minorHAnsi"/>
                            <w:b/>
                            <w:bCs/>
                            <w:color w:val="4472C4" w:themeColor="accent1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ajorEastAsia" w:cstheme="minorHAnsi"/>
                            <w:b/>
                            <w:bCs/>
                            <w:color w:val="4472C4" w:themeColor="accent1"/>
                            <w:sz w:val="32"/>
                            <w:szCs w:val="32"/>
                          </w:rPr>
                          <w:t xml:space="preserve">T. </w:t>
                        </w:r>
                        <w:r w:rsidR="00B22622" w:rsidRPr="00B22622">
                          <w:rPr>
                            <w:rFonts w:eastAsiaTheme="majorEastAsia" w:cstheme="minorHAnsi"/>
                            <w:b/>
                            <w:bCs/>
                            <w:color w:val="4472C4" w:themeColor="accent1"/>
                            <w:sz w:val="32"/>
                            <w:szCs w:val="32"/>
                          </w:rPr>
                          <w:t>C</w:t>
                        </w:r>
                        <w:r>
                          <w:rPr>
                            <w:rFonts w:eastAsiaTheme="majorEastAsia" w:cstheme="minorHAnsi"/>
                            <w:b/>
                            <w:bCs/>
                            <w:color w:val="4472C4" w:themeColor="accent1"/>
                            <w:sz w:val="32"/>
                            <w:szCs w:val="32"/>
                          </w:rPr>
                          <w:t xml:space="preserve">lark Simmons </w:t>
                        </w:r>
                        <w:r w:rsidR="00D7425B">
                          <w:rPr>
                            <w:rFonts w:eastAsiaTheme="majorEastAsia" w:cstheme="minorHAnsi"/>
                            <w:b/>
                            <w:bCs/>
                            <w:color w:val="4472C4" w:themeColor="accent1"/>
                            <w:sz w:val="36"/>
                            <w:szCs w:val="36"/>
                          </w:rPr>
                          <w:br/>
                        </w:r>
                        <w:r w:rsidRPr="00F469E3">
                          <w:rPr>
                            <w:rFonts w:eastAsiaTheme="majorEastAsia" w:cstheme="minorHAnsi"/>
                            <w:b/>
                            <w:bCs/>
                            <w:color w:val="4472C4" w:themeColor="accent1"/>
                            <w:sz w:val="24"/>
                            <w:szCs w:val="24"/>
                          </w:rPr>
                          <w:t xml:space="preserve">Senior </w:t>
                        </w:r>
                        <w:r w:rsidR="00D7425B" w:rsidRPr="00F469E3">
                          <w:rPr>
                            <w:rFonts w:eastAsiaTheme="majorEastAsia" w:cstheme="minorHAnsi"/>
                            <w:b/>
                            <w:bCs/>
                            <w:color w:val="4472C4" w:themeColor="accent1"/>
                            <w:sz w:val="24"/>
                            <w:szCs w:val="24"/>
                          </w:rPr>
                          <w:t>Church Consultant</w:t>
                        </w:r>
                      </w:p>
                      <w:p w14:paraId="22A46798" w14:textId="5BCAC81C" w:rsidR="00D7425B" w:rsidRDefault="00D7425B" w:rsidP="00D7425B">
                        <w:pPr>
                          <w:pBdr>
                            <w:bottom w:val="single" w:sz="4" w:space="1" w:color="auto"/>
                          </w:pBdr>
                          <w:rPr>
                            <w:rStyle w:val="Hyperlink"/>
                          </w:rPr>
                        </w:pPr>
                        <w:r w:rsidRPr="003E201E">
                          <w:t>m:</w:t>
                        </w:r>
                        <w:r w:rsidR="004538DA" w:rsidRPr="004538DA">
                          <w:t xml:space="preserve"> </w:t>
                        </w:r>
                        <w:r w:rsidR="00F469E3" w:rsidRPr="00F469E3">
                          <w:t>215-275-3079</w:t>
                        </w:r>
                        <w:r w:rsidRPr="007A52E8">
                          <w:rPr>
                            <w:highlight w:val="yellow"/>
                          </w:rPr>
                          <w:br/>
                        </w:r>
                        <w:r w:rsidR="00B22622" w:rsidRPr="00B22622">
                          <w:t>clong@pensions.org</w:t>
                        </w:r>
                      </w:p>
                      <w:p w14:paraId="1826F9B4" w14:textId="77777777" w:rsidR="00D7425B" w:rsidRDefault="00D7425B" w:rsidP="00D7425B">
                        <w:pPr>
                          <w:pBdr>
                            <w:bottom w:val="single" w:sz="4" w:space="1" w:color="auto"/>
                          </w:pBdr>
                          <w:rPr>
                            <w:rStyle w:val="Hyperlink"/>
                          </w:rPr>
                        </w:pPr>
                      </w:p>
                      <w:p w14:paraId="2A462CCF" w14:textId="77777777" w:rsidR="00D7425B" w:rsidRDefault="00D7425B" w:rsidP="00D7425B">
                        <w:pPr>
                          <w:pBdr>
                            <w:bottom w:val="single" w:sz="4" w:space="1" w:color="auto"/>
                          </w:pBdr>
                          <w:rPr>
                            <w:rStyle w:val="Hyperlink"/>
                          </w:rPr>
                        </w:pPr>
                      </w:p>
                      <w:p w14:paraId="6131C070" w14:textId="77777777" w:rsidR="00D7425B" w:rsidRDefault="00D7425B" w:rsidP="00D7425B">
                        <w:pPr>
                          <w:pBdr>
                            <w:bottom w:val="single" w:sz="4" w:space="1" w:color="auto"/>
                          </w:pBdr>
                          <w:rPr>
                            <w:rStyle w:val="Hyperlink"/>
                          </w:rPr>
                        </w:pPr>
                      </w:p>
                      <w:p w14:paraId="4CB06E37" w14:textId="77777777" w:rsidR="00D7425B" w:rsidRDefault="00D7425B" w:rsidP="00D7425B">
                        <w:pPr>
                          <w:pBdr>
                            <w:bottom w:val="single" w:sz="4" w:space="1" w:color="auto"/>
                          </w:pBdr>
                          <w:rPr>
                            <w:rStyle w:val="Hyperlink"/>
                          </w:rPr>
                        </w:pP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D7425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F11683" wp14:editId="24644EB1">
                <wp:simplePos x="0" y="0"/>
                <wp:positionH relativeFrom="margin">
                  <wp:posOffset>1616075</wp:posOffset>
                </wp:positionH>
                <wp:positionV relativeFrom="paragraph">
                  <wp:posOffset>10795</wp:posOffset>
                </wp:positionV>
                <wp:extent cx="4298950" cy="2564295"/>
                <wp:effectExtent l="0" t="0" r="0" b="762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950" cy="2564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C81207" w14:textId="35A6CDF6" w:rsidR="00D7425B" w:rsidRPr="00C42E59" w:rsidRDefault="006C40C9" w:rsidP="00D7425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bookmarkStart w:id="0" w:name="_Hlk90907258"/>
                            <w:r>
                              <w:rPr>
                                <w:b/>
                                <w:bCs/>
                              </w:rPr>
                              <w:t>Jan</w:t>
                            </w:r>
                            <w:r w:rsidR="006834D5">
                              <w:rPr>
                                <w:b/>
                                <w:bCs/>
                              </w:rPr>
                              <w:t>uary</w:t>
                            </w:r>
                            <w:r>
                              <w:rPr>
                                <w:b/>
                                <w:bCs/>
                              </w:rPr>
                              <w:t>/Feb</w:t>
                            </w:r>
                            <w:r w:rsidR="006834D5">
                              <w:rPr>
                                <w:b/>
                                <w:bCs/>
                              </w:rPr>
                              <w:t>ruary</w:t>
                            </w:r>
                            <w:r w:rsidR="00D7425B">
                              <w:rPr>
                                <w:b/>
                                <w:bCs/>
                              </w:rPr>
                              <w:t xml:space="preserve"> 202</w:t>
                            </w:r>
                            <w:r w:rsidR="003628B9">
                              <w:rPr>
                                <w:b/>
                                <w:bCs/>
                              </w:rPr>
                              <w:t>5</w:t>
                            </w:r>
                          </w:p>
                          <w:p w14:paraId="03686A04" w14:textId="77777777" w:rsidR="00D7425B" w:rsidRPr="00C42E59" w:rsidRDefault="00D7425B" w:rsidP="00D7425B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bookmarkEnd w:id="0"/>
                          <w:p w14:paraId="57B7DC44" w14:textId="4AF1A2C2" w:rsidR="00D7425B" w:rsidRPr="00773ED7" w:rsidRDefault="00D7425B" w:rsidP="00D7425B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 xml:space="preserve">We at the Board </w:t>
                            </w:r>
                            <w:r w:rsidR="0064694C">
                              <w:t xml:space="preserve">of Pensions </w:t>
                            </w:r>
                            <w:r>
                              <w:t xml:space="preserve">are working hard to </w:t>
                            </w:r>
                            <w:r w:rsidR="0064694C">
                              <w:t>serve</w:t>
                            </w:r>
                            <w:r>
                              <w:t xml:space="preserve"> our </w:t>
                            </w:r>
                            <w:r w:rsidR="00692D4B">
                              <w:t xml:space="preserve">churches, </w:t>
                            </w:r>
                            <w:r>
                              <w:t>ministers</w:t>
                            </w:r>
                            <w:r w:rsidR="00692D4B">
                              <w:t>,</w:t>
                            </w:r>
                            <w:r>
                              <w:t xml:space="preserve"> and employees of the Presbyterian Church (USA). </w:t>
                            </w:r>
                            <w:r w:rsidR="009C2578">
                              <w:t xml:space="preserve">I am here to support </w:t>
                            </w:r>
                            <w:proofErr w:type="gramStart"/>
                            <w:r w:rsidR="009C2578">
                              <w:t>you</w:t>
                            </w:r>
                            <w:proofErr w:type="gramEnd"/>
                            <w:r w:rsidR="009C2578">
                              <w:t xml:space="preserve"> and your congregation should you have any questions about </w:t>
                            </w:r>
                            <w:r w:rsidR="003208BA">
                              <w:t xml:space="preserve">the </w:t>
                            </w:r>
                            <w:r w:rsidR="007B7909">
                              <w:t>B</w:t>
                            </w:r>
                            <w:r w:rsidR="009C2578">
                              <w:t>oard</w:t>
                            </w:r>
                            <w:r w:rsidR="003208BA">
                              <w:t>’s</w:t>
                            </w:r>
                            <w:r w:rsidR="007B7909">
                              <w:t xml:space="preserve"> benefits and programs</w:t>
                            </w:r>
                            <w:r w:rsidR="009C2578">
                              <w:t xml:space="preserve">. </w:t>
                            </w:r>
                            <w:r w:rsidR="00D16723">
                              <w:t xml:space="preserve">I look forward to our continued partnership in the new year. </w:t>
                            </w:r>
                            <w:r>
                              <w:br/>
                            </w:r>
                          </w:p>
                          <w:p w14:paraId="4389FB1D" w14:textId="77777777" w:rsidR="00D7425B" w:rsidRPr="00812518" w:rsidRDefault="00D7425B" w:rsidP="00D7425B">
                            <w:pPr>
                              <w:rPr>
                                <w:i/>
                                <w:iCs/>
                                <w:caps/>
                                <w:color w:val="4472C4" w:themeColor="accent1"/>
                                <w:sz w:val="26"/>
                                <w:szCs w:val="26"/>
                              </w:rPr>
                            </w:pPr>
                            <w:r w:rsidRPr="00812518">
                              <w:rPr>
                                <w:i/>
                                <w:iCs/>
                              </w:rPr>
                              <w:t xml:space="preserve">The Board of Pensions is a national agency of the Presbyterian Church (U.S.A.), offering a broad range of benefits to PC(USA) churches, agencies, and mid councils, as well as affiliated employers. </w:t>
                            </w:r>
                          </w:p>
                          <w:p w14:paraId="1F735C48" w14:textId="77777777" w:rsidR="00D7425B" w:rsidRPr="00A420FF" w:rsidRDefault="00D7425B" w:rsidP="00D7425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420FF">
                              <w:rPr>
                                <w:b/>
                                <w:bCs/>
                                <w:color w:val="4472C4" w:themeColor="accent1"/>
                              </w:rPr>
                              <w:t>Member/Employer Services</w:t>
                            </w:r>
                            <w:r w:rsidRPr="00A420FF">
                              <w:t>: 800-773-7752, M-F 8:30</w:t>
                            </w:r>
                            <w:r>
                              <w:t xml:space="preserve"> am to 6:00 pm ET</w:t>
                            </w:r>
                          </w:p>
                          <w:p w14:paraId="27A7FA58" w14:textId="77777777" w:rsidR="00D7425B" w:rsidRDefault="00D7425B" w:rsidP="00D7425B">
                            <w:pPr>
                              <w:rPr>
                                <w:caps/>
                                <w:color w:val="4472C4" w:themeColor="accent1"/>
                                <w:sz w:val="26"/>
                                <w:szCs w:val="26"/>
                              </w:rPr>
                            </w:pPr>
                          </w:p>
                          <w:p w14:paraId="723BC0AE" w14:textId="77777777" w:rsidR="00D7425B" w:rsidRDefault="00D7425B" w:rsidP="00D7425B">
                            <w:pPr>
                              <w:rPr>
                                <w:caps/>
                                <w:color w:val="4472C4" w:themeColor="accent1"/>
                                <w:sz w:val="26"/>
                                <w:szCs w:val="26"/>
                              </w:rPr>
                            </w:pPr>
                          </w:p>
                          <w:p w14:paraId="795BD4AF" w14:textId="77777777" w:rsidR="00D7425B" w:rsidRDefault="00D7425B" w:rsidP="00D7425B">
                            <w:pPr>
                              <w:rPr>
                                <w:caps/>
                                <w:color w:val="4472C4" w:themeColor="accen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11683" id="Text Box 20" o:spid="_x0000_s1029" type="#_x0000_t202" style="position:absolute;margin-left:127.25pt;margin-top:.85pt;width:338.5pt;height:201.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" filled="f" stroked="f" strokeweight=".5pt">
                <v:textbox inset=",7.2pt,,0">
                  <w:txbxContent>
                    <w:p w14:paraId="51C81207" w14:textId="35A6CDF6" w:rsidR="00D7425B" w:rsidRPr="00C42E59" w:rsidRDefault="006C40C9" w:rsidP="00D7425B">
                      <w:pPr>
                        <w:spacing w:after="0"/>
                        <w:rPr>
                          <w:b/>
                          <w:bCs/>
                        </w:rPr>
                      </w:pPr>
                      <w:bookmarkStart w:id="1" w:name="_Hlk90907258"/>
                      <w:r>
                        <w:rPr>
                          <w:b/>
                          <w:bCs/>
                        </w:rPr>
                        <w:t>Jan</w:t>
                      </w:r>
                      <w:r w:rsidR="006834D5">
                        <w:rPr>
                          <w:b/>
                          <w:bCs/>
                        </w:rPr>
                        <w:t>uary</w:t>
                      </w:r>
                      <w:r>
                        <w:rPr>
                          <w:b/>
                          <w:bCs/>
                        </w:rPr>
                        <w:t>/Feb</w:t>
                      </w:r>
                      <w:r w:rsidR="006834D5">
                        <w:rPr>
                          <w:b/>
                          <w:bCs/>
                        </w:rPr>
                        <w:t>ruary</w:t>
                      </w:r>
                      <w:r w:rsidR="00D7425B">
                        <w:rPr>
                          <w:b/>
                          <w:bCs/>
                        </w:rPr>
                        <w:t xml:space="preserve"> 202</w:t>
                      </w:r>
                      <w:r w:rsidR="003628B9">
                        <w:rPr>
                          <w:b/>
                          <w:bCs/>
                        </w:rPr>
                        <w:t>5</w:t>
                      </w:r>
                    </w:p>
                    <w:p w14:paraId="03686A04" w14:textId="77777777" w:rsidR="00D7425B" w:rsidRPr="00C42E59" w:rsidRDefault="00D7425B" w:rsidP="00D7425B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bookmarkEnd w:id="1"/>
                    <w:p w14:paraId="57B7DC44" w14:textId="4AF1A2C2" w:rsidR="00D7425B" w:rsidRPr="00773ED7" w:rsidRDefault="00D7425B" w:rsidP="00D7425B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t xml:space="preserve">We at the Board </w:t>
                      </w:r>
                      <w:r w:rsidR="0064694C">
                        <w:t xml:space="preserve">of Pensions </w:t>
                      </w:r>
                      <w:r>
                        <w:t xml:space="preserve">are working hard to </w:t>
                      </w:r>
                      <w:r w:rsidR="0064694C">
                        <w:t>serve</w:t>
                      </w:r>
                      <w:r>
                        <w:t xml:space="preserve"> our </w:t>
                      </w:r>
                      <w:r w:rsidR="00692D4B">
                        <w:t xml:space="preserve">churches, </w:t>
                      </w:r>
                      <w:r>
                        <w:t>ministers</w:t>
                      </w:r>
                      <w:r w:rsidR="00692D4B">
                        <w:t>,</w:t>
                      </w:r>
                      <w:r>
                        <w:t xml:space="preserve"> and employees of the Presbyterian Church (USA). </w:t>
                      </w:r>
                      <w:r w:rsidR="009C2578">
                        <w:t xml:space="preserve">I am here to support </w:t>
                      </w:r>
                      <w:proofErr w:type="gramStart"/>
                      <w:r w:rsidR="009C2578">
                        <w:t>you</w:t>
                      </w:r>
                      <w:proofErr w:type="gramEnd"/>
                      <w:r w:rsidR="009C2578">
                        <w:t xml:space="preserve"> and your congregation should you have any questions about </w:t>
                      </w:r>
                      <w:r w:rsidR="003208BA">
                        <w:t xml:space="preserve">the </w:t>
                      </w:r>
                      <w:r w:rsidR="007B7909">
                        <w:t>B</w:t>
                      </w:r>
                      <w:r w:rsidR="009C2578">
                        <w:t>oard</w:t>
                      </w:r>
                      <w:r w:rsidR="003208BA">
                        <w:t>’s</w:t>
                      </w:r>
                      <w:r w:rsidR="007B7909">
                        <w:t xml:space="preserve"> benefits and programs</w:t>
                      </w:r>
                      <w:r w:rsidR="009C2578">
                        <w:t xml:space="preserve">. </w:t>
                      </w:r>
                      <w:r w:rsidR="00D16723">
                        <w:t xml:space="preserve">I look forward to our continued partnership in the new year. </w:t>
                      </w:r>
                      <w:r>
                        <w:br/>
                      </w:r>
                    </w:p>
                    <w:p w14:paraId="4389FB1D" w14:textId="77777777" w:rsidR="00D7425B" w:rsidRPr="00812518" w:rsidRDefault="00D7425B" w:rsidP="00D7425B">
                      <w:pPr>
                        <w:rPr>
                          <w:i/>
                          <w:iCs/>
                          <w:caps/>
                          <w:color w:val="4472C4" w:themeColor="accent1"/>
                          <w:sz w:val="26"/>
                          <w:szCs w:val="26"/>
                        </w:rPr>
                      </w:pPr>
                      <w:r w:rsidRPr="00812518">
                        <w:rPr>
                          <w:i/>
                          <w:iCs/>
                        </w:rPr>
                        <w:t xml:space="preserve">The Board of Pensions is a national agency of the Presbyterian Church (U.S.A.), offering a broad range of benefits to PC(USA) churches, agencies, and mid councils, as well as affiliated employers. </w:t>
                      </w:r>
                    </w:p>
                    <w:p w14:paraId="1F735C48" w14:textId="77777777" w:rsidR="00D7425B" w:rsidRPr="00A420FF" w:rsidRDefault="00D7425B" w:rsidP="00D7425B">
                      <w:pPr>
                        <w:rPr>
                          <w:b/>
                          <w:bCs/>
                        </w:rPr>
                      </w:pPr>
                      <w:r w:rsidRPr="00A420FF">
                        <w:rPr>
                          <w:b/>
                          <w:bCs/>
                          <w:color w:val="4472C4" w:themeColor="accent1"/>
                        </w:rPr>
                        <w:t>Member/Employer Services</w:t>
                      </w:r>
                      <w:r w:rsidRPr="00A420FF">
                        <w:t>: 800-773-7752, M-F 8:30</w:t>
                      </w:r>
                      <w:r>
                        <w:t xml:space="preserve"> am to 6:00 pm ET</w:t>
                      </w:r>
                    </w:p>
                    <w:p w14:paraId="27A7FA58" w14:textId="77777777" w:rsidR="00D7425B" w:rsidRDefault="00D7425B" w:rsidP="00D7425B">
                      <w:pPr>
                        <w:rPr>
                          <w:caps/>
                          <w:color w:val="4472C4" w:themeColor="accent1"/>
                          <w:sz w:val="26"/>
                          <w:szCs w:val="26"/>
                        </w:rPr>
                      </w:pPr>
                    </w:p>
                    <w:p w14:paraId="723BC0AE" w14:textId="77777777" w:rsidR="00D7425B" w:rsidRDefault="00D7425B" w:rsidP="00D7425B">
                      <w:pPr>
                        <w:rPr>
                          <w:caps/>
                          <w:color w:val="4472C4" w:themeColor="accent1"/>
                          <w:sz w:val="26"/>
                          <w:szCs w:val="26"/>
                        </w:rPr>
                      </w:pPr>
                    </w:p>
                    <w:p w14:paraId="795BD4AF" w14:textId="77777777" w:rsidR="00D7425B" w:rsidRDefault="00D7425B" w:rsidP="00D7425B">
                      <w:pPr>
                        <w:rPr>
                          <w:caps/>
                          <w:color w:val="4472C4" w:themeColor="accent1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1" w:name="_Hlk93405521"/>
      <w:r w:rsidR="00AF2518">
        <w:rPr>
          <w:rFonts w:ascii="Georgia" w:hAnsi="Georgia"/>
          <w:color w:val="1F3864" w:themeColor="accent1" w:themeShade="80"/>
          <w:sz w:val="32"/>
          <w:szCs w:val="32"/>
        </w:rPr>
        <w:t>Shared Ministry Program</w:t>
      </w:r>
    </w:p>
    <w:bookmarkEnd w:id="1"/>
    <w:p w14:paraId="3DE26FAD" w14:textId="6F0110DC" w:rsidR="00D7425B" w:rsidRDefault="00AF2518" w:rsidP="00AF2518">
      <w:pPr>
        <w:spacing w:after="0" w:line="240" w:lineRule="auto"/>
        <w:contextualSpacing/>
      </w:pPr>
      <w:r w:rsidRPr="00AF2518">
        <w:t xml:space="preserve">The new Shared Ministry Program encourages two or more Presbyterian Church (U.S.A.) congregations to covenant to create sustainable pastoral positions for ordained ministers. Participating congregations enter into a five-year dues subsidy program with the Board to receive a subsidy of the cost of benefits for pastors. Shared Ministry is </w:t>
      </w:r>
      <w:r w:rsidRPr="00240C9C">
        <w:rPr>
          <w:u w:val="single"/>
        </w:rPr>
        <w:t>not</w:t>
      </w:r>
      <w:r w:rsidRPr="00AF2518">
        <w:rPr>
          <w:b/>
          <w:bCs/>
        </w:rPr>
        <w:t xml:space="preserve"> </w:t>
      </w:r>
      <w:r w:rsidRPr="00AF2518">
        <w:t>a merger of churches; rather</w:t>
      </w:r>
      <w:r w:rsidR="00766A58">
        <w:t>, it</w:t>
      </w:r>
      <w:r w:rsidRPr="00AF2518">
        <w:t xml:space="preserve"> is multiple, individual congregations sharing a minister with a living wage and benefits that helps ministry flourish and be sustained for the long term. </w:t>
      </w:r>
      <w:hyperlink r:id="rId12" w:history="1">
        <w:r w:rsidRPr="009A1DED">
          <w:rPr>
            <w:rStyle w:val="Hyperlink"/>
          </w:rPr>
          <w:t>Learn more about the program</w:t>
        </w:r>
      </w:hyperlink>
      <w:r w:rsidRPr="00AF2518">
        <w:t xml:space="preserve">, including key considerations and how to get started. </w:t>
      </w:r>
      <w:r w:rsidR="00D7425B">
        <w:t xml:space="preserve"> </w:t>
      </w:r>
      <w:r w:rsidR="005A5A0D">
        <w:br/>
      </w:r>
    </w:p>
    <w:p w14:paraId="04381D15" w14:textId="77777777" w:rsidR="00A10200" w:rsidRDefault="00A10200" w:rsidP="00A10200">
      <w:pPr>
        <w:spacing w:after="0" w:line="120" w:lineRule="auto"/>
        <w:contextualSpacing/>
      </w:pPr>
    </w:p>
    <w:p w14:paraId="1499276E" w14:textId="7A7318E2" w:rsidR="003B402A" w:rsidRPr="003B402A" w:rsidRDefault="00087127" w:rsidP="000641A5">
      <w:pPr>
        <w:spacing w:after="120" w:line="240" w:lineRule="auto"/>
        <w:contextualSpacing/>
        <w:rPr>
          <w:rFonts w:ascii="Georgia" w:hAnsi="Georgia"/>
          <w:color w:val="1F3864" w:themeColor="accent1" w:themeShade="80"/>
          <w:sz w:val="32"/>
          <w:szCs w:val="32"/>
        </w:rPr>
      </w:pPr>
      <w:r>
        <w:rPr>
          <w:rFonts w:ascii="Georgia" w:hAnsi="Georgia"/>
          <w:color w:val="1F3864" w:themeColor="accent1" w:themeShade="80"/>
          <w:sz w:val="32"/>
          <w:szCs w:val="32"/>
        </w:rPr>
        <w:t>Assistance Program Updates</w:t>
      </w:r>
    </w:p>
    <w:p w14:paraId="65DF0EB8" w14:textId="6A0877A4" w:rsidR="003721B3" w:rsidRDefault="00087127" w:rsidP="00151833">
      <w:pPr>
        <w:spacing w:line="240" w:lineRule="auto"/>
      </w:pPr>
      <w:r>
        <w:t xml:space="preserve">As part of our commitment to mutual care and wholeness, the Board of Pensions continues to expand access to </w:t>
      </w:r>
      <w:r w:rsidR="00912BFD">
        <w:t xml:space="preserve">grants through </w:t>
      </w:r>
      <w:r>
        <w:t>the Assistance Program to serve more ministers, employees, retirees, and surviving spouses who have financial need.</w:t>
      </w:r>
      <w:r w:rsidR="00FF29C6">
        <w:t xml:space="preserve"> In 2024, the Assistance Program distributed </w:t>
      </w:r>
      <w:r w:rsidR="00B22FFE">
        <w:t xml:space="preserve">over </w:t>
      </w:r>
      <w:r w:rsidR="00BB14C6">
        <w:t>2,500</w:t>
      </w:r>
      <w:r w:rsidR="00CF3B70">
        <w:t xml:space="preserve"> grants for a total of approximately $</w:t>
      </w:r>
      <w:r w:rsidR="00BB14C6">
        <w:t>8.5</w:t>
      </w:r>
      <w:r w:rsidR="00CF3B70">
        <w:t xml:space="preserve"> million in funds.</w:t>
      </w:r>
      <w:r>
        <w:t xml:space="preserve"> </w:t>
      </w:r>
      <w:hyperlink r:id="rId13" w:history="1">
        <w:r>
          <w:rPr>
            <w:rStyle w:val="Hyperlink"/>
          </w:rPr>
          <w:t>Read about potential grant opportunities.</w:t>
        </w:r>
      </w:hyperlink>
    </w:p>
    <w:p w14:paraId="1B8731FF" w14:textId="39EC51FB" w:rsidR="001F2A14" w:rsidRDefault="00D7425B" w:rsidP="00A42C23">
      <w:pPr>
        <w:spacing w:after="0" w:line="240" w:lineRule="auto"/>
        <w:rPr>
          <w:rFonts w:ascii="Georgia" w:hAnsi="Georgia"/>
          <w:color w:val="1F3864" w:themeColor="accent1" w:themeShade="80"/>
          <w:sz w:val="32"/>
          <w:szCs w:val="32"/>
        </w:rPr>
      </w:pPr>
      <w:r>
        <w:rPr>
          <w:rFonts w:ascii="Georgia" w:hAnsi="Georgia"/>
          <w:color w:val="1F3864" w:themeColor="accent1" w:themeShade="80"/>
          <w:sz w:val="32"/>
          <w:szCs w:val="32"/>
        </w:rPr>
        <w:t>Other important information</w:t>
      </w:r>
      <w:r w:rsidR="003B27C7">
        <w:rPr>
          <w:rFonts w:ascii="Georgia" w:hAnsi="Georgia"/>
          <w:color w:val="1F3864" w:themeColor="accent1" w:themeShade="80"/>
          <w:sz w:val="32"/>
          <w:szCs w:val="32"/>
        </w:rPr>
        <w:t>:</w:t>
      </w:r>
    </w:p>
    <w:p w14:paraId="33E3175A" w14:textId="5B01F7C1" w:rsidR="00A42C23" w:rsidRDefault="00C0560F" w:rsidP="00C0560F">
      <w:pPr>
        <w:spacing w:after="0" w:line="240" w:lineRule="auto"/>
        <w:rPr>
          <w:rStyle w:val="Hyperlink"/>
          <w:b/>
          <w:bCs/>
          <w:color w:val="auto"/>
          <w:u w:val="none"/>
        </w:rPr>
      </w:pPr>
      <w:r w:rsidRPr="00C0560F">
        <w:rPr>
          <w:b/>
          <w:bCs/>
        </w:rPr>
        <w:t xml:space="preserve">Employee Assistance Plan (EAP): </w:t>
      </w:r>
      <w:r w:rsidRPr="00C0560F">
        <w:t>Effective Jan. 1, 2025, Spring Health replace</w:t>
      </w:r>
      <w:r w:rsidR="008006F7">
        <w:t>d</w:t>
      </w:r>
      <w:r w:rsidRPr="00C0560F">
        <w:t xml:space="preserve"> Cigna as the provider for the EAP. Spring Health offers mental health care navigation with a broader network of providers in addition to the EAP services with which members are familiar.</w:t>
      </w:r>
      <w:r w:rsidR="00B65D9A">
        <w:t xml:space="preserve"> </w:t>
      </w:r>
      <w:hyperlink r:id="rId14" w:history="1">
        <w:r w:rsidR="00B65D9A" w:rsidRPr="00B65D9A">
          <w:rPr>
            <w:rStyle w:val="Hyperlink"/>
          </w:rPr>
          <w:t>Learn more about Spring Health</w:t>
        </w:r>
      </w:hyperlink>
      <w:r w:rsidR="00B65D9A">
        <w:t>.</w:t>
      </w:r>
    </w:p>
    <w:p w14:paraId="286326C7" w14:textId="77777777" w:rsidR="00C0560F" w:rsidRDefault="00C0560F" w:rsidP="00A42C23">
      <w:pPr>
        <w:spacing w:after="0" w:line="240" w:lineRule="auto"/>
        <w:rPr>
          <w:rStyle w:val="Hyperlink"/>
          <w:b/>
          <w:bCs/>
          <w:color w:val="auto"/>
          <w:u w:val="none"/>
        </w:rPr>
      </w:pPr>
    </w:p>
    <w:p w14:paraId="3035C4E8" w14:textId="5522EB79" w:rsidR="00D7425B" w:rsidRDefault="00BF3C6C" w:rsidP="00A42C23">
      <w:pPr>
        <w:spacing w:after="0" w:line="240" w:lineRule="auto"/>
        <w:rPr>
          <w:rStyle w:val="Hyperlink"/>
          <w:color w:val="auto"/>
          <w:u w:val="none"/>
        </w:rPr>
      </w:pPr>
      <w:r>
        <w:rPr>
          <w:rStyle w:val="Hyperlink"/>
          <w:b/>
          <w:bCs/>
          <w:color w:val="auto"/>
          <w:u w:val="none"/>
        </w:rPr>
        <w:t>Remember to update Effective Salaries for the new year</w:t>
      </w:r>
      <w:r w:rsidR="00D7425B" w:rsidRPr="001F2A14">
        <w:rPr>
          <w:rStyle w:val="Hyperlink"/>
          <w:b/>
          <w:bCs/>
          <w:color w:val="auto"/>
          <w:u w:val="none"/>
        </w:rPr>
        <w:t>:</w:t>
      </w:r>
      <w:r w:rsidR="00966F11">
        <w:rPr>
          <w:rStyle w:val="Hyperlink"/>
          <w:b/>
          <w:bCs/>
          <w:color w:val="auto"/>
          <w:u w:val="none"/>
        </w:rPr>
        <w:t xml:space="preserve"> </w:t>
      </w:r>
      <w:r w:rsidR="00966F11">
        <w:rPr>
          <w:rStyle w:val="Hyperlink"/>
          <w:color w:val="auto"/>
          <w:u w:val="none"/>
        </w:rPr>
        <w:t>Any changes to effective salaries must be reported to the Board of Pensions via Benefits Connect within 60 days of the effective date</w:t>
      </w:r>
      <w:r w:rsidR="00D7425B" w:rsidRPr="001F2A14">
        <w:rPr>
          <w:rStyle w:val="Hyperlink"/>
          <w:color w:val="auto"/>
          <w:u w:val="none"/>
        </w:rPr>
        <w:t xml:space="preserve">. </w:t>
      </w:r>
      <w:r w:rsidR="005B53D3">
        <w:rPr>
          <w:rStyle w:val="Hyperlink"/>
          <w:color w:val="auto"/>
          <w:u w:val="none"/>
        </w:rPr>
        <w:t>D</w:t>
      </w:r>
      <w:r w:rsidR="007313D3">
        <w:rPr>
          <w:rStyle w:val="Hyperlink"/>
          <w:color w:val="auto"/>
          <w:u w:val="none"/>
        </w:rPr>
        <w:t xml:space="preserve">etails about forms of compensation included in effective salary </w:t>
      </w:r>
      <w:r w:rsidR="005B53D3">
        <w:rPr>
          <w:rStyle w:val="Hyperlink"/>
          <w:color w:val="auto"/>
          <w:u w:val="none"/>
        </w:rPr>
        <w:t xml:space="preserve">are found in </w:t>
      </w:r>
      <w:hyperlink r:id="rId15" w:history="1">
        <w:r w:rsidR="005B53D3">
          <w:rPr>
            <w:rStyle w:val="Hyperlink"/>
          </w:rPr>
          <w:t>Understanding Effective Salary.</w:t>
        </w:r>
      </w:hyperlink>
      <w:r w:rsidR="00D7425B" w:rsidRPr="001F2A14">
        <w:rPr>
          <w:rStyle w:val="Hyperlink"/>
          <w:color w:val="auto"/>
          <w:u w:val="none"/>
        </w:rPr>
        <w:t xml:space="preserve"> </w:t>
      </w:r>
    </w:p>
    <w:p w14:paraId="50D94188" w14:textId="77777777" w:rsidR="005739E7" w:rsidRDefault="005739E7" w:rsidP="00A42C23">
      <w:pPr>
        <w:spacing w:after="0" w:line="240" w:lineRule="auto"/>
        <w:rPr>
          <w:rStyle w:val="Hyperlink"/>
          <w:color w:val="auto"/>
          <w:u w:val="none"/>
        </w:rPr>
      </w:pPr>
    </w:p>
    <w:p w14:paraId="43D4D68D" w14:textId="346DC747" w:rsidR="005739E7" w:rsidRDefault="003E514A" w:rsidP="00A42C23">
      <w:pPr>
        <w:spacing w:after="0" w:line="240" w:lineRule="auto"/>
      </w:pPr>
      <w:r>
        <w:rPr>
          <w:rStyle w:val="Hyperlink"/>
          <w:b/>
          <w:bCs/>
          <w:color w:val="auto"/>
          <w:u w:val="none"/>
        </w:rPr>
        <w:t>Call to Health well</w:t>
      </w:r>
      <w:r w:rsidR="0020355C">
        <w:rPr>
          <w:rStyle w:val="Hyperlink"/>
          <w:b/>
          <w:bCs/>
          <w:color w:val="auto"/>
          <w:u w:val="none"/>
        </w:rPr>
        <w:t>-</w:t>
      </w:r>
      <w:r w:rsidR="00912BFD">
        <w:rPr>
          <w:rStyle w:val="Hyperlink"/>
          <w:b/>
          <w:bCs/>
          <w:color w:val="auto"/>
          <w:u w:val="none"/>
        </w:rPr>
        <w:t>being</w:t>
      </w:r>
      <w:r>
        <w:rPr>
          <w:rStyle w:val="Hyperlink"/>
          <w:b/>
          <w:bCs/>
          <w:color w:val="auto"/>
          <w:u w:val="none"/>
        </w:rPr>
        <w:t xml:space="preserve"> program begins a new year</w:t>
      </w:r>
      <w:r w:rsidR="005739E7" w:rsidRPr="001F2A14">
        <w:rPr>
          <w:rStyle w:val="Hyperlink"/>
          <w:b/>
          <w:bCs/>
          <w:color w:val="auto"/>
          <w:u w:val="none"/>
        </w:rPr>
        <w:t>:</w:t>
      </w:r>
      <w:r w:rsidR="005739E7">
        <w:rPr>
          <w:rStyle w:val="Hyperlink"/>
          <w:b/>
          <w:bCs/>
          <w:color w:val="auto"/>
          <w:u w:val="none"/>
        </w:rPr>
        <w:t xml:space="preserve"> </w:t>
      </w:r>
      <w:r w:rsidR="003C4695" w:rsidRPr="003C4695">
        <w:t>Call to Health</w:t>
      </w:r>
      <w:r w:rsidR="003C4695">
        <w:t xml:space="preserve"> is</w:t>
      </w:r>
      <w:r w:rsidR="003C4695" w:rsidRPr="003C4695">
        <w:t xml:space="preserve"> a well-being program that focuses on self-care in all areas: spiritual, health, financial, and vocational. </w:t>
      </w:r>
      <w:r w:rsidR="003C4695">
        <w:t>It</w:t>
      </w:r>
      <w:r w:rsidR="003C4695" w:rsidRPr="003C4695">
        <w:t xml:space="preserve"> offers </w:t>
      </w:r>
      <w:r w:rsidR="003C4695">
        <w:t>members</w:t>
      </w:r>
      <w:r w:rsidR="003C4695" w:rsidRPr="003C4695">
        <w:t xml:space="preserve"> </w:t>
      </w:r>
      <w:r w:rsidR="00F36277">
        <w:t xml:space="preserve">in the medical plan </w:t>
      </w:r>
      <w:r w:rsidR="003C4695" w:rsidRPr="003C4695">
        <w:t xml:space="preserve">the opportunity to reduce </w:t>
      </w:r>
      <w:r w:rsidR="006349CB">
        <w:t xml:space="preserve">their </w:t>
      </w:r>
      <w:r w:rsidR="003C4695" w:rsidRPr="003C4695">
        <w:t xml:space="preserve">medical deductible(s) and earn Tango cards, which can </w:t>
      </w:r>
      <w:r w:rsidR="006349CB">
        <w:t xml:space="preserve">be </w:t>
      </w:r>
      <w:r w:rsidR="003C4695" w:rsidRPr="003C4695">
        <w:t>redeem</w:t>
      </w:r>
      <w:r w:rsidR="006349CB">
        <w:t>ed</w:t>
      </w:r>
      <w:r w:rsidR="003C4695" w:rsidRPr="003C4695">
        <w:t xml:space="preserve"> for gift cards or use</w:t>
      </w:r>
      <w:r w:rsidR="006349CB">
        <w:t>d</w:t>
      </w:r>
      <w:r w:rsidR="003C4695" w:rsidRPr="003C4695">
        <w:t xml:space="preserve"> to make charitable donations</w:t>
      </w:r>
      <w:r w:rsidR="00855A7C">
        <w:t xml:space="preserve">. </w:t>
      </w:r>
      <w:hyperlink r:id="rId16" w:history="1">
        <w:r w:rsidR="00855A7C" w:rsidRPr="002E0A93">
          <w:rPr>
            <w:rStyle w:val="Hyperlink"/>
          </w:rPr>
          <w:t>Learn more</w:t>
        </w:r>
      </w:hyperlink>
      <w:r w:rsidR="00855A7C">
        <w:t xml:space="preserve"> and start </w:t>
      </w:r>
      <w:r w:rsidR="00E50F72">
        <w:t>today</w:t>
      </w:r>
      <w:r w:rsidR="00F36277">
        <w:t>.</w:t>
      </w:r>
    </w:p>
    <w:p w14:paraId="214B09A1" w14:textId="77777777" w:rsidR="00C253AB" w:rsidRPr="001F2A14" w:rsidRDefault="00C253AB" w:rsidP="00A42C23">
      <w:pPr>
        <w:spacing w:after="0" w:line="240" w:lineRule="auto"/>
        <w:rPr>
          <w:rStyle w:val="Hyperlink"/>
          <w:color w:val="auto"/>
          <w:u w:val="none"/>
        </w:rPr>
      </w:pPr>
    </w:p>
    <w:sectPr w:rsidR="00C253AB" w:rsidRPr="001F2A14" w:rsidSect="009C7CE4">
      <w:headerReference w:type="default" r:id="rId17"/>
      <w:footerReference w:type="default" r:id="rId18"/>
      <w:headerReference w:type="first" r:id="rId19"/>
      <w:footerReference w:type="first" r:id="rId20"/>
      <w:pgSz w:w="12240" w:h="15840"/>
      <w:pgMar w:top="1440" w:right="1440" w:bottom="720" w:left="144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5C9BB" w14:textId="77777777" w:rsidR="008B448F" w:rsidRDefault="008B448F">
      <w:pPr>
        <w:spacing w:after="0" w:line="240" w:lineRule="auto"/>
      </w:pPr>
      <w:r>
        <w:separator/>
      </w:r>
    </w:p>
  </w:endnote>
  <w:endnote w:type="continuationSeparator" w:id="0">
    <w:p w14:paraId="2CFC01D3" w14:textId="77777777" w:rsidR="008B448F" w:rsidRDefault="008B4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62740" w14:textId="77777777" w:rsidR="009E0A58" w:rsidRDefault="00D7425B">
    <w:pPr>
      <w:pStyle w:val="Foot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15BD88C9" wp14:editId="233546C9">
          <wp:simplePos x="0" y="0"/>
          <wp:positionH relativeFrom="page">
            <wp:posOffset>0</wp:posOffset>
          </wp:positionH>
          <wp:positionV relativeFrom="paragraph">
            <wp:posOffset>-414032</wp:posOffset>
          </wp:positionV>
          <wp:extent cx="7662672" cy="658368"/>
          <wp:effectExtent l="0" t="0" r="0" b="8890"/>
          <wp:wrapTight wrapText="bothSides">
            <wp:wrapPolygon edited="0">
              <wp:start x="0" y="0"/>
              <wp:lineTo x="0" y="21266"/>
              <wp:lineTo x="21534" y="21266"/>
              <wp:lineTo x="21534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 ori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2672" cy="658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4B8C5" w14:textId="77777777" w:rsidR="009E0A58" w:rsidRDefault="00D7425B">
    <w:pPr>
      <w:pStyle w:val="Footer"/>
    </w:pPr>
    <w:r>
      <w:rPr>
        <w:noProof/>
      </w:rPr>
      <w:drawing>
        <wp:anchor distT="0" distB="0" distL="114300" distR="114300" simplePos="0" relativeHeight="251660288" behindDoc="1" locked="1" layoutInCell="1" allowOverlap="1" wp14:anchorId="637AF955" wp14:editId="7FBC21E5">
          <wp:simplePos x="0" y="0"/>
          <wp:positionH relativeFrom="page">
            <wp:align>left</wp:align>
          </wp:positionH>
          <wp:positionV relativeFrom="paragraph">
            <wp:posOffset>-373953</wp:posOffset>
          </wp:positionV>
          <wp:extent cx="7662672" cy="658368"/>
          <wp:effectExtent l="0" t="0" r="0" b="8890"/>
          <wp:wrapTight wrapText="bothSides">
            <wp:wrapPolygon edited="0">
              <wp:start x="0" y="0"/>
              <wp:lineTo x="0" y="21266"/>
              <wp:lineTo x="21534" y="21266"/>
              <wp:lineTo x="21534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 ori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2672" cy="658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9100E" w14:textId="77777777" w:rsidR="008B448F" w:rsidRDefault="008B448F">
      <w:pPr>
        <w:spacing w:after="0" w:line="240" w:lineRule="auto"/>
      </w:pPr>
      <w:r>
        <w:separator/>
      </w:r>
    </w:p>
  </w:footnote>
  <w:footnote w:type="continuationSeparator" w:id="0">
    <w:p w14:paraId="17822AFD" w14:textId="77777777" w:rsidR="008B448F" w:rsidRDefault="008B4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1E0D3" w14:textId="77777777" w:rsidR="009E0A58" w:rsidRDefault="00D7425B">
    <w:pPr>
      <w:pStyle w:val="Header"/>
    </w:pPr>
    <w:r>
      <w:rPr>
        <w:rFonts w:ascii="Calibri" w:eastAsia="Times New Roman" w:hAnsi="Calibri" w:cs="Times New Roman"/>
        <w:noProof/>
      </w:rPr>
      <w:drawing>
        <wp:anchor distT="0" distB="0" distL="114300" distR="114300" simplePos="0" relativeHeight="251663360" behindDoc="0" locked="0" layoutInCell="1" allowOverlap="1" wp14:anchorId="47A89746" wp14:editId="29C03D23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759700" cy="1020445"/>
          <wp:effectExtent l="0" t="0" r="0" b="8255"/>
          <wp:wrapSquare wrapText="bothSides"/>
          <wp:docPr id="13" name="Picture 13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700" cy="1020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EF636FD" wp14:editId="56A8687E">
              <wp:simplePos x="0" y="0"/>
              <wp:positionH relativeFrom="column">
                <wp:posOffset>2592236</wp:posOffset>
              </wp:positionH>
              <wp:positionV relativeFrom="paragraph">
                <wp:posOffset>-329980</wp:posOffset>
              </wp:positionV>
              <wp:extent cx="3996690" cy="768350"/>
              <wp:effectExtent l="0" t="0" r="0" b="0"/>
              <wp:wrapSquare wrapText="bothSides"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6690" cy="7683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098A25" w14:textId="77777777" w:rsidR="009E0A58" w:rsidRPr="00CB6691" w:rsidRDefault="00D7425B" w:rsidP="00A944EB">
                          <w:pPr>
                            <w:jc w:val="right"/>
                            <w:rPr>
                              <w:rFonts w:ascii="Georgia" w:hAnsi="Georgia"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CB6691">
                            <w:rPr>
                              <w:rFonts w:ascii="Georgia" w:hAnsi="Georgia"/>
                              <w:color w:val="FFFFFF" w:themeColor="background1"/>
                              <w:sz w:val="44"/>
                              <w:szCs w:val="44"/>
                            </w:rPr>
                            <w:t>Important Updates from</w:t>
                          </w:r>
                          <w:r>
                            <w:rPr>
                              <w:rFonts w:ascii="Georgia" w:hAnsi="Georgia"/>
                              <w:color w:val="FFFFFF" w:themeColor="background1"/>
                              <w:sz w:val="44"/>
                              <w:szCs w:val="44"/>
                            </w:rPr>
                            <w:br/>
                          </w:r>
                          <w:r w:rsidRPr="00CB6691">
                            <w:rPr>
                              <w:rFonts w:ascii="Georgia" w:hAnsi="Georgia"/>
                              <w:color w:val="FFFFFF" w:themeColor="background1"/>
                              <w:sz w:val="44"/>
                              <w:szCs w:val="44"/>
                            </w:rPr>
                            <w:t>the Board of Pensions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F636F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204.1pt;margin-top:-26pt;width:314.7pt;height:6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" stroked="f">
              <v:fill opacity="0"/>
              <v:textbox>
                <w:txbxContent>
                  <w:p w14:paraId="4B098A25" w14:textId="77777777" w:rsidR="009E0A58" w:rsidRPr="00CB6691" w:rsidRDefault="00D7425B" w:rsidP="00A944EB">
                    <w:pPr>
                      <w:jc w:val="right"/>
                      <w:rPr>
                        <w:rFonts w:ascii="Georgia" w:hAnsi="Georgia"/>
                        <w:color w:val="FFFFFF" w:themeColor="background1"/>
                        <w:sz w:val="44"/>
                        <w:szCs w:val="44"/>
                      </w:rPr>
                    </w:pPr>
                    <w:r w:rsidRPr="00CB6691">
                      <w:rPr>
                        <w:rFonts w:ascii="Georgia" w:hAnsi="Georgia"/>
                        <w:color w:val="FFFFFF" w:themeColor="background1"/>
                        <w:sz w:val="44"/>
                        <w:szCs w:val="44"/>
                      </w:rPr>
                      <w:t>Important Updates from</w:t>
                    </w:r>
                    <w:r>
                      <w:rPr>
                        <w:rFonts w:ascii="Georgia" w:hAnsi="Georgia"/>
                        <w:color w:val="FFFFFF" w:themeColor="background1"/>
                        <w:sz w:val="44"/>
                        <w:szCs w:val="44"/>
                      </w:rPr>
                      <w:br/>
                    </w:r>
                    <w:r w:rsidRPr="00CB6691">
                      <w:rPr>
                        <w:rFonts w:ascii="Georgia" w:hAnsi="Georgia"/>
                        <w:color w:val="FFFFFF" w:themeColor="background1"/>
                        <w:sz w:val="44"/>
                        <w:szCs w:val="44"/>
                      </w:rPr>
                      <w:t>the Board of Pensions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88A77" w14:textId="77777777" w:rsidR="009E0A58" w:rsidRDefault="00D7425B">
    <w:pPr>
      <w:pStyle w:val="Header"/>
    </w:pPr>
    <w:r>
      <w:rPr>
        <w:rFonts w:ascii="Calibri" w:eastAsia="Times New Roman" w:hAnsi="Calibri" w:cs="Times New Roman"/>
        <w:noProof/>
      </w:rPr>
      <w:drawing>
        <wp:anchor distT="0" distB="0" distL="114300" distR="114300" simplePos="0" relativeHeight="251662336" behindDoc="0" locked="0" layoutInCell="1" allowOverlap="1" wp14:anchorId="4DE95699" wp14:editId="0BAC13A9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759700" cy="1020445"/>
          <wp:effectExtent l="0" t="0" r="0" b="8255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700" cy="1020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F811FC"/>
    <w:multiLevelType w:val="hybridMultilevel"/>
    <w:tmpl w:val="5C84BF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69368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25B"/>
    <w:rsid w:val="00002990"/>
    <w:rsid w:val="00060126"/>
    <w:rsid w:val="000641A5"/>
    <w:rsid w:val="00087127"/>
    <w:rsid w:val="000A26CB"/>
    <w:rsid w:val="000B3630"/>
    <w:rsid w:val="000C1F71"/>
    <w:rsid w:val="000D3702"/>
    <w:rsid w:val="00112E97"/>
    <w:rsid w:val="00145806"/>
    <w:rsid w:val="00151833"/>
    <w:rsid w:val="00160D78"/>
    <w:rsid w:val="00164294"/>
    <w:rsid w:val="00164CB1"/>
    <w:rsid w:val="00175FEE"/>
    <w:rsid w:val="001A7A5F"/>
    <w:rsid w:val="001B0354"/>
    <w:rsid w:val="001E4F90"/>
    <w:rsid w:val="001F2A14"/>
    <w:rsid w:val="0020355C"/>
    <w:rsid w:val="00207192"/>
    <w:rsid w:val="002076A8"/>
    <w:rsid w:val="00240C9C"/>
    <w:rsid w:val="00253924"/>
    <w:rsid w:val="00255565"/>
    <w:rsid w:val="002659BD"/>
    <w:rsid w:val="002A5748"/>
    <w:rsid w:val="002A60AE"/>
    <w:rsid w:val="002E0A93"/>
    <w:rsid w:val="002E1350"/>
    <w:rsid w:val="002E73D6"/>
    <w:rsid w:val="003208BA"/>
    <w:rsid w:val="003467D3"/>
    <w:rsid w:val="003516C5"/>
    <w:rsid w:val="003566A2"/>
    <w:rsid w:val="003628B9"/>
    <w:rsid w:val="003721B3"/>
    <w:rsid w:val="00385991"/>
    <w:rsid w:val="00385F53"/>
    <w:rsid w:val="00386A5D"/>
    <w:rsid w:val="003B27C7"/>
    <w:rsid w:val="003B402A"/>
    <w:rsid w:val="003B5F52"/>
    <w:rsid w:val="003C35B4"/>
    <w:rsid w:val="003C4695"/>
    <w:rsid w:val="003C6117"/>
    <w:rsid w:val="003E201E"/>
    <w:rsid w:val="003E514A"/>
    <w:rsid w:val="00413BC0"/>
    <w:rsid w:val="00421680"/>
    <w:rsid w:val="004538DA"/>
    <w:rsid w:val="004A0C6A"/>
    <w:rsid w:val="00510AF3"/>
    <w:rsid w:val="0052550D"/>
    <w:rsid w:val="0053589B"/>
    <w:rsid w:val="005401B1"/>
    <w:rsid w:val="005572C8"/>
    <w:rsid w:val="005739E7"/>
    <w:rsid w:val="00593885"/>
    <w:rsid w:val="005A5A0D"/>
    <w:rsid w:val="005B53D3"/>
    <w:rsid w:val="006349CB"/>
    <w:rsid w:val="0064694C"/>
    <w:rsid w:val="00650993"/>
    <w:rsid w:val="00663C35"/>
    <w:rsid w:val="006834D5"/>
    <w:rsid w:val="00692D4B"/>
    <w:rsid w:val="006B4E85"/>
    <w:rsid w:val="006C40C9"/>
    <w:rsid w:val="006C6555"/>
    <w:rsid w:val="006D2E3F"/>
    <w:rsid w:val="006E715F"/>
    <w:rsid w:val="00707CF7"/>
    <w:rsid w:val="00716B52"/>
    <w:rsid w:val="00730E3D"/>
    <w:rsid w:val="007313D3"/>
    <w:rsid w:val="007320BF"/>
    <w:rsid w:val="007609AF"/>
    <w:rsid w:val="00766A58"/>
    <w:rsid w:val="007846FA"/>
    <w:rsid w:val="00795C5D"/>
    <w:rsid w:val="007A52E8"/>
    <w:rsid w:val="007B7909"/>
    <w:rsid w:val="008006F7"/>
    <w:rsid w:val="00817553"/>
    <w:rsid w:val="00821399"/>
    <w:rsid w:val="00846E69"/>
    <w:rsid w:val="00855A7C"/>
    <w:rsid w:val="008B448F"/>
    <w:rsid w:val="008C5AB2"/>
    <w:rsid w:val="008E50EB"/>
    <w:rsid w:val="00912BFD"/>
    <w:rsid w:val="00944F08"/>
    <w:rsid w:val="009562D1"/>
    <w:rsid w:val="00966F11"/>
    <w:rsid w:val="009A1DED"/>
    <w:rsid w:val="009C2578"/>
    <w:rsid w:val="009E0A58"/>
    <w:rsid w:val="00A00B39"/>
    <w:rsid w:val="00A05EBA"/>
    <w:rsid w:val="00A10200"/>
    <w:rsid w:val="00A4214A"/>
    <w:rsid w:val="00A42C23"/>
    <w:rsid w:val="00AA0A59"/>
    <w:rsid w:val="00AA1573"/>
    <w:rsid w:val="00AB5667"/>
    <w:rsid w:val="00AE391A"/>
    <w:rsid w:val="00AF1FA4"/>
    <w:rsid w:val="00AF2518"/>
    <w:rsid w:val="00B22622"/>
    <w:rsid w:val="00B22FFE"/>
    <w:rsid w:val="00B518DF"/>
    <w:rsid w:val="00B65D9A"/>
    <w:rsid w:val="00B67090"/>
    <w:rsid w:val="00BB14C6"/>
    <w:rsid w:val="00BF3C6C"/>
    <w:rsid w:val="00C0560F"/>
    <w:rsid w:val="00C14DAD"/>
    <w:rsid w:val="00C253AB"/>
    <w:rsid w:val="00C25450"/>
    <w:rsid w:val="00C32F8A"/>
    <w:rsid w:val="00C463A5"/>
    <w:rsid w:val="00C7556A"/>
    <w:rsid w:val="00C94210"/>
    <w:rsid w:val="00C94BBD"/>
    <w:rsid w:val="00CB13D2"/>
    <w:rsid w:val="00CC572B"/>
    <w:rsid w:val="00CD30E2"/>
    <w:rsid w:val="00CF3B70"/>
    <w:rsid w:val="00D0150A"/>
    <w:rsid w:val="00D16723"/>
    <w:rsid w:val="00D7425B"/>
    <w:rsid w:val="00D93077"/>
    <w:rsid w:val="00D973D9"/>
    <w:rsid w:val="00DC1EF6"/>
    <w:rsid w:val="00DF38A4"/>
    <w:rsid w:val="00E076BE"/>
    <w:rsid w:val="00E26450"/>
    <w:rsid w:val="00E26567"/>
    <w:rsid w:val="00E50F72"/>
    <w:rsid w:val="00E64BB6"/>
    <w:rsid w:val="00E65755"/>
    <w:rsid w:val="00E94A41"/>
    <w:rsid w:val="00EA75DC"/>
    <w:rsid w:val="00F360DD"/>
    <w:rsid w:val="00F36277"/>
    <w:rsid w:val="00F469E3"/>
    <w:rsid w:val="00F859EB"/>
    <w:rsid w:val="00FA0CBF"/>
    <w:rsid w:val="00FB0E66"/>
    <w:rsid w:val="00FF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206B3"/>
  <w15:chartTrackingRefBased/>
  <w15:docId w15:val="{963B6919-F3E7-4F67-ADFF-F8D29AE2C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25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42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25B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742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25B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D7425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7425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7425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60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38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ensions.org/your-path-to-wholeness/assistance-program/receiving-assistanc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pensions.org/what-we-offer/benefits-packages/shared-ministry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pensions.org/your-path-to-wholeness/call-to-health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5" Type="http://schemas.openxmlformats.org/officeDocument/2006/relationships/hyperlink" Target="https://www.pensions.org/file/what-we-offer/benefits-guidance/forms-documents/Documents/pln-103.pdf/" TargetMode="Externa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pensions.org/what-we-offer/health/medical/employee-assistance/spring-health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21DE54DC2B8843A1A80219694D45BC" ma:contentTypeVersion="18" ma:contentTypeDescription="Create a new document." ma:contentTypeScope="" ma:versionID="69f9787c4243c356a0d8c7c9c68c9526">
  <xsd:schema xmlns:xsd="http://www.w3.org/2001/XMLSchema" xmlns:xs="http://www.w3.org/2001/XMLSchema" xmlns:p="http://schemas.microsoft.com/office/2006/metadata/properties" xmlns:ns3="3548f3b8-0171-4304-b0b0-8ee3cef06da1" xmlns:ns4="56732478-be5d-43cd-b90c-d4f6c69d1ab4" targetNamespace="http://schemas.microsoft.com/office/2006/metadata/properties" ma:root="true" ma:fieldsID="565b896f6ef625c878f03bc4eb67465a" ns3:_="" ns4:_="">
    <xsd:import namespace="3548f3b8-0171-4304-b0b0-8ee3cef06da1"/>
    <xsd:import namespace="56732478-be5d-43cd-b90c-d4f6c69d1a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8f3b8-0171-4304-b0b0-8ee3cef06d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32478-be5d-43cd-b90c-d4f6c69d1ab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548f3b8-0171-4304-b0b0-8ee3cef06da1" xsi:nil="true"/>
  </documentManagement>
</p:properties>
</file>

<file path=customXml/itemProps1.xml><?xml version="1.0" encoding="utf-8"?>
<ds:datastoreItem xmlns:ds="http://schemas.openxmlformats.org/officeDocument/2006/customXml" ds:itemID="{8A06B4B0-45A3-42A9-92D7-F03FD368F5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764458-D48D-40C5-9A85-FB1DB94D5D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8f3b8-0171-4304-b0b0-8ee3cef06da1"/>
    <ds:schemaRef ds:uri="56732478-be5d-43cd-b90c-d4f6c69d1a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C79360-07D6-4A69-A806-82445556D12B}">
  <ds:schemaRefs>
    <ds:schemaRef ds:uri="http://schemas.microsoft.com/office/2006/metadata/properties"/>
    <ds:schemaRef ds:uri="http://schemas.microsoft.com/office/infopath/2007/PartnerControls"/>
    <ds:schemaRef ds:uri="3548f3b8-0171-4304-b0b0-8ee3cef06da1"/>
  </ds:schemaRefs>
</ds:datastoreItem>
</file>

<file path=docMetadata/LabelInfo.xml><?xml version="1.0" encoding="utf-8"?>
<clbl:labelList xmlns:clbl="http://schemas.microsoft.com/office/2020/mipLabelMetadata">
  <clbl:label id="{10dc8588-04eb-400d-a58d-c809158f1b74}" enabled="1" method="Standard" siteId="{d5c2f055-da56-4eb4-a656-8e01d9ed9ab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Board of Pensions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Long, Christine</dc:creator>
  <cp:keywords/>
  <dc:description/>
  <cp:lastModifiedBy>Charlie Evans</cp:lastModifiedBy>
  <cp:revision>2</cp:revision>
  <dcterms:created xsi:type="dcterms:W3CDTF">2025-01-02T19:36:00Z</dcterms:created>
  <dcterms:modified xsi:type="dcterms:W3CDTF">2025-01-02T19:36:00Z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0x0101002E21DE54DC2B8843A1A80219694D45BC</vt:lpwstr>
  </property>
</Properties>
</file>